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4" w:rsidRDefault="00BA18F4" w:rsidP="00BA18F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УТВЕРЖДЕНО</w:t>
      </w:r>
    </w:p>
    <w:p w:rsidR="00BA18F4" w:rsidRDefault="00BA18F4" w:rsidP="00BA18F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приказ заведующего государственным учреждением образования «</w:t>
      </w:r>
      <w:proofErr w:type="spell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Стародорожский</w:t>
      </w:r>
      <w:proofErr w:type="spellEnd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дошкольный центр развития ребёнка»</w:t>
      </w:r>
    </w:p>
    <w:p w:rsidR="00BA18F4" w:rsidRDefault="00BA18F4" w:rsidP="00BA18F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01.09.2023 г.  №148</w:t>
      </w:r>
    </w:p>
    <w:p w:rsidR="00BA18F4" w:rsidRDefault="00BA18F4" w:rsidP="00BA18F4">
      <w:pPr>
        <w:spacing w:after="0" w:line="240" w:lineRule="auto"/>
        <w:ind w:righ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18F4" w:rsidRDefault="00BA18F4" w:rsidP="00BA18F4">
      <w:pPr>
        <w:spacing w:after="0" w:line="240" w:lineRule="auto"/>
        <w:ind w:righ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ПОЛОЖЕНИЕ</w:t>
      </w:r>
    </w:p>
    <w:p w:rsidR="00BA18F4" w:rsidRDefault="00BA18F4" w:rsidP="00BA18F4">
      <w:pPr>
        <w:spacing w:after="0" w:line="240" w:lineRule="auto"/>
        <w:ind w:right="5387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о политике в отношении обработки  персональных данных</w:t>
      </w:r>
      <w:bookmarkStart w:id="0" w:name="_Hlk137998983"/>
      <w:r>
        <w:rPr>
          <w:rFonts w:ascii="Times New Roman" w:hAnsi="Times New Roman" w:cs="Times New Roman"/>
          <w:sz w:val="30"/>
          <w:szCs w:val="30"/>
        </w:rPr>
        <w:t xml:space="preserve">     </w:t>
      </w:r>
      <w:bookmarkEnd w:id="0"/>
    </w:p>
    <w:p w:rsidR="00BA18F4" w:rsidRDefault="00BA18F4" w:rsidP="00BA18F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BA18F4" w:rsidRDefault="00BA18F4" w:rsidP="00BA18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ГЛАВА 1</w:t>
      </w:r>
    </w:p>
    <w:p w:rsidR="00BA18F4" w:rsidRDefault="00BA18F4" w:rsidP="00BA18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ОБЩИЕ ПОЛОЖЕНИЯ</w:t>
      </w:r>
    </w:p>
    <w:p w:rsidR="00BA18F4" w:rsidRDefault="00BA18F4" w:rsidP="00BA18F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BA18F4" w:rsidRDefault="00BA18F4" w:rsidP="00BA1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Настоящий документ разработан в целях обеспечения  защиты персональных данных работников, воспитанников и законных представителей обучающихся.</w:t>
      </w:r>
    </w:p>
    <w:p w:rsidR="00BA18F4" w:rsidRDefault="00BA18F4" w:rsidP="00BA1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2. Настоящий документ определяет порядок государственного учреждения образования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Стародорожский</w:t>
      </w:r>
      <w:proofErr w:type="spellEnd"/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 дошкольный центр развития ребёнка» далее (дошкольный центр развития ребёнка)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 в отношении обработки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Политика разработана во исполнение требований Закона Республики Беларусь от 7 мая 2021 г. № 99-З «О защите персональных данных» (далее – Закон № 99-З) и иных нормативных правовых актов о персональных данных.</w:t>
      </w:r>
    </w:p>
    <w:p w:rsidR="00BA18F4" w:rsidRDefault="00BA18F4" w:rsidP="00BA18F4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Для целей настоящей 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Политики используются термины и определения в значениях, определенных законодательством.</w:t>
      </w:r>
    </w:p>
    <w:p w:rsidR="00BA18F4" w:rsidRDefault="00BA18F4" w:rsidP="00BA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Политика действует в отношении всех процессов обработки персональных данных, которые  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дошкольный центр развития ребёнка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получает о субъекте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Действующая редакция Политики размещена на сайте учреждения образования 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5" w:history="1">
        <w:r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https://do-gorod.starye-dorogi.by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BA18F4" w:rsidRDefault="00BA18F4" w:rsidP="00BA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Утверждение положения о политике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дошкольного центра развития ребёнка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>
        <w:rPr>
          <w:rFonts w:ascii="Times New Roman" w:hAnsi="Times New Roman" w:cs="Times New Roman"/>
          <w:sz w:val="30"/>
          <w:szCs w:val="32"/>
        </w:rPr>
        <w:t xml:space="preserve">в отношении обработки персональных данных (далее – Политика) является одной из принимаемых </w:t>
      </w:r>
      <w:r>
        <w:rPr>
          <w:rFonts w:ascii="Times New Roman" w:hAnsi="Times New Roman" w:cs="Times New Roman"/>
          <w:sz w:val="30"/>
          <w:szCs w:val="32"/>
          <w:lang w:val="be-BY"/>
        </w:rPr>
        <w:t>мер по защите персональных данных, предусмотренных статьей 17 Закона.</w:t>
      </w:r>
    </w:p>
    <w:p w:rsidR="00BA18F4" w:rsidRDefault="00BA18F4" w:rsidP="00BA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1" w:name="_Hlk95218456"/>
      <w:r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>
        <w:rPr>
          <w:rFonts w:ascii="Times New Roman" w:hAnsi="Times New Roman" w:cs="Times New Roman"/>
          <w:sz w:val="30"/>
          <w:szCs w:val="32"/>
        </w:rPr>
        <w:t>их</w:t>
      </w:r>
      <w:proofErr w:type="gramEnd"/>
      <w:r>
        <w:rPr>
          <w:rFonts w:ascii="Times New Roman" w:hAnsi="Times New Roman" w:cs="Times New Roman"/>
          <w:sz w:val="30"/>
          <w:szCs w:val="32"/>
        </w:rPr>
        <w:t xml:space="preserve"> персональные данные собираются, используются, или иным образом обрабатываются, а также отражает имеющиеся в связи </w:t>
      </w:r>
      <w:r>
        <w:rPr>
          <w:rFonts w:ascii="Times New Roman" w:hAnsi="Times New Roman" w:cs="Times New Roman"/>
          <w:sz w:val="30"/>
          <w:szCs w:val="32"/>
        </w:rPr>
        <w:br/>
      </w:r>
      <w:r>
        <w:rPr>
          <w:rFonts w:ascii="Times New Roman" w:hAnsi="Times New Roman" w:cs="Times New Roman"/>
          <w:sz w:val="30"/>
          <w:szCs w:val="32"/>
        </w:rPr>
        <w:lastRenderedPageBreak/>
        <w:t>с этим у субъектов персональных данных права и механизм их реализации.</w:t>
      </w:r>
      <w:bookmarkEnd w:id="1"/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6. В Политике используются термины и определения, в значениях, закрепленных в Законе о защите персональных данных.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силу абзаца  девятого статьи 1 Закона  персональными данными  признаётся любая информация, относящаяся к  идентифицированному физическому лицу или лицу, которое может быть идентифицировано.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Выделяется  два вида информации, которая может признаваться персональными данными: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информация, относящаяся к идентифицированному лицу (личность, которого уже известна);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информация, относящаяся к лицу, которое может быть  идентифицировано (лицо, которое может быть определено через фамилию, дату рождения, идентификационный номер);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7. В работе с персональными данными учитываются категории персональных данных: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общедоступные персональные данные (распространённые самим субъектом с его согласия либо в соответствие с требованиями законодательства (абзац 7 статьи 1 Закона);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специальные персональные данные (расовая либо национальная принадлежность, религиозные убеждения, здоровье, биологические и генетические персональные данные, привлечение к административной или уголовной ответственности).</w:t>
      </w:r>
    </w:p>
    <w:p w:rsidR="00BA18F4" w:rsidRDefault="00BA18F4" w:rsidP="00BA18F4">
      <w:pPr>
        <w:spacing w:after="0" w:line="280" w:lineRule="exact"/>
        <w:rPr>
          <w:rFonts w:ascii="Times New Roman" w:hAnsi="Times New Roman" w:cs="Times New Roman"/>
          <w:b/>
          <w:bCs/>
          <w:color w:val="0070C0"/>
          <w:sz w:val="30"/>
          <w:szCs w:val="30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ЦЕЛИ И ПРАВОВЫЕ ОСНОВАНИЯ ОБРАБОТКИ ПЕРСОНАЛЬНЫХ ДАННЫХ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Персональные данные обрабатываются </w:t>
      </w:r>
      <w:r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дошкольным центром развития  ребёнка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в целях: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8.1.обработки персональных данных в процессе трудовой деятельности;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8.2.обработки информации (резюме) кандидатов на трудоустройство;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8.3.архивного хранения документов;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8.4.ведения бухгалтерского и налогового учета; 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8.5.направления в служебные командировки;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8.6.обеспечения пропускного режима;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8.7.осуществления административных процедур;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8.8.рассмотрения обращений;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8.9.ведения воинского учета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8.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>
        <w:rPr>
          <w:rFonts w:ascii="Times New Roman" w:hAnsi="Times New Roman" w:cs="Times New Roman"/>
          <w:sz w:val="30"/>
          <w:szCs w:val="30"/>
        </w:rPr>
        <w:t>аттестации</w:t>
      </w:r>
      <w:r>
        <w:rPr>
          <w:rFonts w:ascii="Times New Roman" w:hAnsi="Times New Roman" w:cs="Times New Roman"/>
          <w:spacing w:val="55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работ</w:t>
      </w:r>
      <w:r>
        <w:rPr>
          <w:rFonts w:ascii="Times New Roman" w:hAnsi="Times New Roman" w:cs="Times New Roman"/>
          <w:spacing w:val="-2"/>
          <w:sz w:val="30"/>
          <w:szCs w:val="30"/>
        </w:rPr>
        <w:t>ников;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lastRenderedPageBreak/>
        <w:t>8.11.</w:t>
      </w:r>
      <w:r>
        <w:rPr>
          <w:rFonts w:ascii="Times New Roman" w:hAnsi="Times New Roman" w:cs="Times New Roman"/>
          <w:sz w:val="30"/>
          <w:szCs w:val="30"/>
        </w:rPr>
        <w:t>заключения и исполнения гражданско-правовых договоров;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заключение, исполнение, изменение и расторжение определенного договора;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идентификация зарегистрированного Пользователя (на конкретном ресурсе);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 Правовые основания обработки персональных данных: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9.1. 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 (</w:t>
      </w:r>
      <w:r>
        <w:rPr>
          <w:i/>
          <w:iCs/>
          <w:sz w:val="30"/>
          <w:szCs w:val="30"/>
        </w:rPr>
        <w:t>абзац восьмой статьи 6 и абзац третий пункта 2 статьи 8 Закона</w:t>
      </w:r>
      <w:r>
        <w:rPr>
          <w:sz w:val="30"/>
          <w:szCs w:val="30"/>
        </w:rPr>
        <w:t xml:space="preserve">); </w:t>
      </w:r>
    </w:p>
    <w:p w:rsidR="00BA18F4" w:rsidRDefault="00BA18F4" w:rsidP="00BA18F4">
      <w:pPr>
        <w:pStyle w:val="newncpi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получении персональных данных оператором на основании договора, заключенного (заключаемого) с субъектом персональных данных, в целях совершения действий, установленных этим договором (</w:t>
      </w:r>
      <w:r>
        <w:rPr>
          <w:i/>
          <w:iCs/>
          <w:sz w:val="30"/>
          <w:szCs w:val="30"/>
        </w:rPr>
        <w:t>абзац пятнадцатый статьи 6 Зак</w:t>
      </w:r>
      <w:r>
        <w:rPr>
          <w:sz w:val="30"/>
          <w:szCs w:val="30"/>
        </w:rPr>
        <w:t xml:space="preserve">она); </w:t>
      </w:r>
    </w:p>
    <w:p w:rsidR="00BA18F4" w:rsidRDefault="00BA18F4" w:rsidP="00BA18F4">
      <w:pPr>
        <w:pStyle w:val="newncpi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при обработке персональных данных, когда они указаны в документе, адресованном оператору и подписанном субъектом персональных данных, в соответствии с содержанием такого документа (</w:t>
      </w:r>
      <w:r>
        <w:rPr>
          <w:i/>
          <w:iCs/>
          <w:sz w:val="30"/>
          <w:szCs w:val="30"/>
        </w:rPr>
        <w:t>абзац шестнадцатый статьи 6 Зак</w:t>
      </w:r>
      <w:r>
        <w:rPr>
          <w:sz w:val="30"/>
          <w:szCs w:val="30"/>
        </w:rPr>
        <w:t xml:space="preserve">она); </w:t>
      </w:r>
    </w:p>
    <w:p w:rsidR="00BA18F4" w:rsidRDefault="00BA18F4" w:rsidP="00BA18F4">
      <w:pPr>
        <w:pStyle w:val="newncpi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обработка персональных данных является необходимой для выполнения обязанностей (полномочий), предусмотренных законодательными актами (</w:t>
      </w:r>
      <w:r>
        <w:rPr>
          <w:i/>
          <w:iCs/>
          <w:sz w:val="30"/>
          <w:szCs w:val="30"/>
        </w:rPr>
        <w:t>абзац двадцатый статьи 6, абзац шестнадцатый части второй статьи 8 Закона</w:t>
      </w:r>
      <w:r>
        <w:rPr>
          <w:sz w:val="30"/>
          <w:szCs w:val="30"/>
        </w:rPr>
        <w:t>);</w:t>
      </w:r>
    </w:p>
    <w:p w:rsidR="00BA18F4" w:rsidRDefault="00BA18F4" w:rsidP="00BA18F4">
      <w:pPr>
        <w:pStyle w:val="newncpi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согласие (</w:t>
      </w:r>
      <w:r>
        <w:rPr>
          <w:i/>
          <w:iCs/>
          <w:sz w:val="30"/>
          <w:szCs w:val="30"/>
        </w:rPr>
        <w:t>пункт 3 статьи 4, статья 5 Закона</w:t>
      </w:r>
      <w:r>
        <w:rPr>
          <w:sz w:val="30"/>
          <w:szCs w:val="30"/>
        </w:rPr>
        <w:t>);</w:t>
      </w:r>
    </w:p>
    <w:p w:rsidR="00BA18F4" w:rsidRDefault="00BA18F4" w:rsidP="00BA18F4">
      <w:pPr>
        <w:pStyle w:val="newncpi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иные основания, предусмотренные статьей 6 Закона (статьей 8 в отношении специальных персональных данных) и в иных целях, предусмотренных законодательством.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 Обработка персональных данных осуществляется с согласия субъекта персональных данных, за исключением случаев, предусмотренных Законом № 99-З и иными законодательными актами.</w:t>
      </w:r>
    </w:p>
    <w:p w:rsidR="00BA18F4" w:rsidRDefault="00BA18F4" w:rsidP="00BA18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lang w:eastAsia="ru-RU"/>
        </w:rPr>
        <w:t>Обработка персональных данных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</w:p>
    <w:p w:rsidR="00BA18F4" w:rsidRDefault="00BA18F4" w:rsidP="00BA18F4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Обработка персональных данных включает в себя в том числе: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запись;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систематизацию;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накопление;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хранение;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уточнение (обновление, изменение);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извлечение;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передачу (распространение, предоставление, доступ);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обезличивание;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блокирование;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удаление;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617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уничтожение;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обработки персональных данных без согласия субъекта персональных данных цели обработки персональных данных устанавливаются Законом № 99-З и иными законодательными актами.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КАТЕГОРИИ СУБЪЕКТОВ ПЕРСОНАЛЬНЫХ ДАННЫХ, ЧЬИ ДАННЫЕ ПОДВЕРГАЮТСЯ ОБРАБОТКЕ, А ТАКЖЕ ПЕРЕЧЕНЬ ОБРАБАТЫВАЕМЫХ ПЕРСОНАЛЬНЫХ ДАННЫХ</w:t>
      </w:r>
    </w:p>
    <w:p w:rsidR="00BA18F4" w:rsidRDefault="00BA18F4" w:rsidP="00BA18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 Перечень информационных ресурсов, содержащих персональные данные: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12.1.  электронная почта учреждения;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12.2. программное обеспечение для ведения бухгалтерского учета и отчетности;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12.3. сайт учреждения; </w:t>
      </w:r>
    </w:p>
    <w:p w:rsidR="00BA18F4" w:rsidRDefault="00BA18F4" w:rsidP="00BA18F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видеонаблюдения в организации;</w:t>
      </w:r>
    </w:p>
    <w:p w:rsidR="00BA18F4" w:rsidRDefault="00BA18F4" w:rsidP="00BA18F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системы электронного документооборота;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13. К субъектам персональных данных относятся: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работники, в том числе уволенные, а также их родственники;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посетители;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кандидаты на трудоустройство;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граждане, подавшие (подающие) обращения;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граждане, обратившиеся (обращающиеся) за осуществлением административной процедуры;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 xml:space="preserve">воспитанники; 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законные представители воспитанников;</w:t>
      </w:r>
    </w:p>
    <w:p w:rsidR="00BA18F4" w:rsidRDefault="00BA18F4" w:rsidP="00BA18F4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30"/>
          <w:szCs w:val="30"/>
        </w:rPr>
      </w:pPr>
      <w:r>
        <w:rPr>
          <w:color w:val="212529"/>
          <w:sz w:val="30"/>
          <w:szCs w:val="30"/>
        </w:rPr>
        <w:t>размещение информации о работниках, воспитанниках и законных представителей воспитанников пользователей интернет-сайта (мобильного приложения) оператора и иные конкретные категории субъектов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14. К персональным данным, обрабатываемым дошкольным центром развития ребёнка относятся: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собственное имя, отчество (если таковое имеется);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число, месяц, год рождения;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идентификационный номер;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паспортные данные;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рождения;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данные о гражданстве (подданстве);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 регистрации по месту жительства и (или) месту пребывания;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об образовании, ученой степени, ученом звании;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 (номер телефона и др.);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данные в случаях, предусмотренных законодательством.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И УСЛОВИЯ ОБРАБОТКИ 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ПЕРСОНАЛЬНЫХ ДАННЫХ, В ТОМ ЧИСЛЕ СРОКИ ХРАНЕНИЯ ПЕРСОНАЛЬНЫХ ДАННЫХ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bookmarkStart w:id="2" w:name="_GoBack"/>
      <w:bookmarkEnd w:id="2"/>
    </w:p>
    <w:p w:rsidR="00BA18F4" w:rsidRDefault="00BA18F4" w:rsidP="00BA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 xml:space="preserve">15. </w:t>
      </w:r>
      <w:r>
        <w:rPr>
          <w:rFonts w:ascii="Times New Roman" w:hAnsi="Times New Roman" w:cs="Times New Roman"/>
          <w:sz w:val="30"/>
          <w:szCs w:val="30"/>
        </w:rPr>
        <w:t>Дошкольный центр развития ребёнка осуществляет</w:t>
      </w:r>
      <w:r>
        <w:rPr>
          <w:rFonts w:ascii="Times New Roman" w:hAnsi="Times New Roman" w:cs="Times New Roman"/>
          <w:sz w:val="30"/>
          <w:szCs w:val="32"/>
        </w:rPr>
        <w:t xml:space="preserve">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BA18F4" w:rsidRDefault="00BA18F4" w:rsidP="00BA18F4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16.</w:t>
      </w:r>
      <w:r>
        <w:rPr>
          <w:rFonts w:ascii="Times New Roman" w:hAnsi="Times New Roman" w:cs="Times New Roman"/>
          <w:sz w:val="30"/>
          <w:szCs w:val="30"/>
        </w:rPr>
        <w:t xml:space="preserve"> Дошкольный центр развития ребёнка </w:t>
      </w:r>
      <w:r>
        <w:rPr>
          <w:rFonts w:ascii="Times New Roman" w:hAnsi="Times New Roman" w:cs="Times New Roman"/>
          <w:sz w:val="30"/>
          <w:szCs w:val="32"/>
        </w:rPr>
        <w:t>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BA18F4" w:rsidRDefault="00BA18F4" w:rsidP="00BA1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>
        <w:rPr>
          <w:rFonts w:ascii="Times New Roman" w:hAnsi="Times New Roman" w:cs="Times New Roman"/>
          <w:sz w:val="30"/>
          <w:szCs w:val="32"/>
        </w:rPr>
        <w:t>17. </w:t>
      </w:r>
      <w:bookmarkStart w:id="3" w:name="_Hlk95221756"/>
      <w:r>
        <w:rPr>
          <w:rFonts w:ascii="Times New Roman" w:hAnsi="Times New Roman" w:cs="Times New Roman"/>
          <w:sz w:val="30"/>
          <w:szCs w:val="30"/>
        </w:rPr>
        <w:t xml:space="preserve">Дошкольный центр развития ребёнка </w:t>
      </w:r>
      <w:r>
        <w:rPr>
          <w:rFonts w:ascii="Times New Roman" w:hAnsi="Times New Roman" w:cs="Times New Roman"/>
          <w:sz w:val="30"/>
          <w:szCs w:val="32"/>
        </w:rPr>
        <w:t xml:space="preserve">осуществляет передачу персональных данных третьим лицам с согласия субъекта, </w:t>
      </w:r>
      <w:bookmarkEnd w:id="3"/>
      <w:r>
        <w:rPr>
          <w:rFonts w:ascii="Times New Roman" w:hAnsi="Times New Roman" w:cs="Times New Roman"/>
          <w:sz w:val="30"/>
          <w:szCs w:val="32"/>
        </w:rPr>
        <w:t>за исключением случаев, предусмотренных законодательными актами.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18. 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данных, в том числе сбор, систематизация, хранение, изменение, использование, обезличивание, блокирование, распространение, предоставление, удаление, осуществляется с использованием средств автоматизации либо без использования средств автоматизации (на бумажном носителе).</w:t>
      </w:r>
      <w:proofErr w:type="gramEnd"/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19. 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Обработку персональных данных осуществляет уполномоченное лицо на основании заключаемого договора, в котором определены:</w:t>
      </w:r>
      <w:proofErr w:type="gramEnd"/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цели обработки персональных данных;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действий, которые будут совершаться с персональными данными уполномоченным лицом;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обязанности по соблюдению конфиденциальности персональных</w:t>
      </w:r>
      <w:r>
        <w:rPr>
          <w:rFonts w:ascii="Times New Roman" w:hAnsi="Times New Roman" w:cs="Times New Roman"/>
          <w:color w:val="0070C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данных;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меры по обеспечению защиты персональных данных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Закона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 99-З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20. Уполномоченное лицо в соответствии с договором осуществляет обработку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21. Источником информации о персональных данных является непосредственно субъект персональных данных, а также информация, полученная из открытых источников. 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22. При хранении персональных данных соблюдаются условия, обеспечивающие сохранность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 Если иное не предусмотрено законодательством, обрабатываемые персональные данные по достижении целей обработки, в случае утраты необходимости в достижении этих целей или по истечении сроков их хранения удаляются либо блокируются.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24.Удаление или блокирование персональных данных производится способом, исключающим дальнейшую обработку этих персональных данных. При этом в случае необходимости возможность обработки иных данных, зафиксированных на соответствующем материальном носителе, сохраняется.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законодательством.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26. Лица, ответственные за  обработку персональных данных, прекращают их обрабатывать в следующих случаях: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достигнуты цели обработки персональных данных;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истек срок действия согласия на обработку персональных данных; 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отозвано согласие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обработку персональных данных;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обработка персональных данных неправомерна.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ПРАВА СУБЪЕКТОВ ПЕРСОНАЛЬНЫХ ДАННЫХ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27. Оператор персональных данных (дошкольный центр развития ребёнка) обязан: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18F4">
        <w:rPr>
          <w:rFonts w:ascii="Times New Roman" w:eastAsia="Times New Roman" w:hAnsi="Times New Roman" w:cs="Times New Roman"/>
          <w:sz w:val="30"/>
          <w:szCs w:val="30"/>
          <w:lang w:eastAsia="ru-RU"/>
        </w:rPr>
        <w:t>27.1. соблюдать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27.3. разъяснять субъектам персональных данных, их законным представителям юридические последствия отказа предоставить персональные данные;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27.4. блокировать или удалять неправомерно обрабатываемые, неточные персональные данные либо обеспечить их блокирование или удаление;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27.5.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обработки;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выгодоприобретателем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поручителем по которому является субъект персональных данных, или иным соглашением между гимназией и субъектом персональных данных.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 Оператор персональных данных (дошкольный центр развития ребёнка) вправе: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28.1. использовать персональные данные субъектов персональных данных без их согласия в случаях, предусмотренных законодательством;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28.2. предоставлять персональные данные субъектов персональных данных третьим лицам в случаях, предусмотренных законодательством;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29. работники,  законные представители воспитанников, иные субъекты персональных данных обязаны: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29.1. в случаях, предусмотренных законодательством, предоставлять учреждению  достоверные персональные данные.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29.2. при изменении персональных данных, обнаружении ошибок или неточностей в них незамедлительно сообщать об  этом дошкольному центру развития ребёнка.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 Субъекты персональных данных вправе: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30.1. получать информацию, касающуюся обработки своих персональных данных;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30.2. требовать от дошкольного центра развития ребёнка 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30.3.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ловать действия или бездействие дошкольного центра развития ребёнка в уполномоченном органе по защите прав субъектов персональных данных или в судебном порядке.</w:t>
      </w:r>
    </w:p>
    <w:p w:rsidR="00BA18F4" w:rsidRDefault="00BA18F4" w:rsidP="00BA18F4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30.4.</w:t>
      </w:r>
      <w:r>
        <w:rPr>
          <w:rFonts w:ascii="Times New Roman" w:hAnsi="Times New Roman" w:cs="Times New Roman"/>
          <w:sz w:val="30"/>
          <w:szCs w:val="30"/>
        </w:rPr>
        <w:t xml:space="preserve"> на отзыв своего согласия посредством подачи заявления, в том числе в форме, посредством которой получено его согласие.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31.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Дошкольный центр развития ребёнка 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данных, осуществить их удаление и уведомить </w:t>
      </w:r>
      <w:r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об этом субъекта персональных данных, если отсутствуют иные основания для таких действий с персональными данными, предусмотренные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Законом № 99-З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и иными законодательными актами. </w:t>
      </w:r>
    </w:p>
    <w:p w:rsidR="00BA18F4" w:rsidRDefault="00BA18F4" w:rsidP="00BA1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32. При отсутствии технической возможности удаления персональных данных учреждение обязано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срок;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6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ТРАНСГРАНИЧНАЯ ПЕРЕДАЧА ПЕРСОНАЛЬНЫХ ДАННЫХ </w:t>
      </w: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 Дошкольный центр развития ребёнка не осуществляет  трансграничную передачу персональных данных.</w:t>
      </w:r>
    </w:p>
    <w:p w:rsidR="00BA18F4" w:rsidRDefault="00BA18F4" w:rsidP="00BA1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A18F4" w:rsidRDefault="00BA18F4" w:rsidP="00BA18F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BA18F4" w:rsidRDefault="00BA18F4" w:rsidP="00BA18F4"/>
    <w:p w:rsidR="00A04891" w:rsidRDefault="00A04891"/>
    <w:sectPr w:rsidR="00A04891" w:rsidSect="00A0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B34"/>
    <w:multiLevelType w:val="multilevel"/>
    <w:tmpl w:val="FEF253D2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EE53137"/>
    <w:multiLevelType w:val="multilevel"/>
    <w:tmpl w:val="AA74A2EE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708" w:hanging="144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8F4"/>
    <w:rsid w:val="00A04891"/>
    <w:rsid w:val="00BA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F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8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8F4"/>
    <w:pPr>
      <w:ind w:left="720"/>
      <w:contextualSpacing/>
    </w:pPr>
  </w:style>
  <w:style w:type="paragraph" w:customStyle="1" w:styleId="newncpi">
    <w:name w:val="newncpi"/>
    <w:basedOn w:val="a"/>
    <w:rsid w:val="00BA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D51C0618F286DE0F8DA1F53698958DBBA7361135509A47BEA8CD2D35C0883624948B4D6EDD3FEA4F03B2E510C6D8C660F6C036AB5EB1EA5F17834937WB6AG" TargetMode="External"/><Relationship Id="rId5" Type="http://schemas.openxmlformats.org/officeDocument/2006/relationships/hyperlink" Target="https://do-gorod.starye-dorog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2023-10-12T11:10:00Z</dcterms:created>
  <dcterms:modified xsi:type="dcterms:W3CDTF">2023-10-12T11:12:00Z</dcterms:modified>
</cp:coreProperties>
</file>